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hAnsi="Helvetica Neue"/>
          <w:color w:val="434343"/>
          <w:sz w:val="30"/>
          <w:szCs w:val="30"/>
          <w:rtl w:val="0"/>
        </w:rPr>
        <w:tab/>
        <w:t>1.</w:t>
        <w:tab/>
        <w:t>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xter och djur har olika egenskaper p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grund av att deras celler skiljer sig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t. Beskriv skillnader och likheter mellan 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xt och djurceller. (Repetera 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nl-NL"/>
        </w:rPr>
        <w:t>xtcellen fr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 e-boken ekologi om du gl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mt)</w:t>
      </w: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238849</wp:posOffset>
            </wp:positionH>
            <wp:positionV relativeFrom="line">
              <wp:posOffset>457747</wp:posOffset>
            </wp:positionV>
            <wp:extent cx="5626437" cy="3086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437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Encelliga organismer har under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rmiljonerna utvecklats till flercelliga. Vilka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rdelar finns det med att vara flercellig och vilka problem m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</w:rPr>
        <w:t>ste organismen l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sa om den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 flercellig ist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llet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pt-PT"/>
        </w:rPr>
        <w:t>r encellig?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3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Vad betyder celldifferentiering?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4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en stamcell?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5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Beskriv hur kroppen, cellerna g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sig av med avfalls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mnen.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6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Allt levande har vissa egenskaper som skiljer det fr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de-DE"/>
        </w:rPr>
        <w:t>n d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tt. Beskriv skillnaden mellan levande och d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tt.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7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cellandning?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8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  <w:tab/>
        <w:t>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</w:rPr>
        <w:t>r 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xter energi genom cellandning?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9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  <w:tab/>
        <w:t>En elefant har inte st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fr-FR"/>
        </w:rPr>
        <w:t xml:space="preserve">rre celler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 en myra utan fler. 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kan inte celler bli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 stora?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10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 </w:t>
      </w:r>
      <w:r>
        <w:rPr>
          <w:rFonts w:ascii="Helvetica Neue" w:hAnsi="Helvetica Neue"/>
          <w:color w:val="434343"/>
          <w:sz w:val="30"/>
          <w:szCs w:val="30"/>
          <w:rtl w:val="0"/>
          <w:lang w:val="de-DE"/>
        </w:rPr>
        <w:t>Ungef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hur m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it-IT"/>
        </w:rPr>
        <w:t>nga celler best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r en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nniska av och hur m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nga olika typer av celler bygger upp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nniskokroppen.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